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39247" w14:textId="77777777" w:rsidR="00F462F3" w:rsidRDefault="00F462F3" w:rsidP="00F462F3">
      <w:pPr>
        <w:pStyle w:val="Default"/>
      </w:pPr>
    </w:p>
    <w:p w14:paraId="789F1859" w14:textId="77777777" w:rsidR="00F462F3" w:rsidRPr="00F462F3" w:rsidRDefault="00F462F3" w:rsidP="00F462F3">
      <w:pPr>
        <w:spacing w:after="0" w:line="240" w:lineRule="auto"/>
        <w:jc w:val="center"/>
        <w:rPr>
          <w:rFonts w:cstheme="minorHAnsi"/>
          <w:b/>
          <w:bCs/>
          <w:sz w:val="24"/>
          <w:szCs w:val="24"/>
          <w:u w:val="single"/>
        </w:rPr>
      </w:pPr>
      <w:r w:rsidRPr="00F462F3">
        <w:rPr>
          <w:rFonts w:cstheme="minorHAnsi"/>
          <w:b/>
          <w:bCs/>
          <w:sz w:val="24"/>
          <w:szCs w:val="24"/>
          <w:u w:val="single"/>
        </w:rPr>
        <w:t xml:space="preserve">ADDENDUM OF ENTERGY TEXAS, INC. TO ITS </w:t>
      </w:r>
    </w:p>
    <w:p w14:paraId="776043FA" w14:textId="6F6C634B" w:rsidR="0028059E" w:rsidRPr="00F462F3" w:rsidRDefault="00F462F3" w:rsidP="00F462F3">
      <w:pPr>
        <w:spacing w:after="0" w:line="240" w:lineRule="auto"/>
        <w:jc w:val="center"/>
        <w:rPr>
          <w:rFonts w:cstheme="minorHAnsi"/>
          <w:b/>
          <w:bCs/>
          <w:sz w:val="24"/>
          <w:szCs w:val="24"/>
          <w:u w:val="single"/>
        </w:rPr>
      </w:pPr>
      <w:r w:rsidRPr="00F462F3">
        <w:rPr>
          <w:rFonts w:cstheme="minorHAnsi"/>
          <w:b/>
          <w:bCs/>
          <w:sz w:val="24"/>
          <w:szCs w:val="24"/>
          <w:u w:val="single"/>
        </w:rPr>
        <w:t>SERVICE QUALITY REPORT FOR THE 2022 REPORTING YEAR</w:t>
      </w:r>
    </w:p>
    <w:p w14:paraId="129826C3" w14:textId="77777777" w:rsidR="00F462F3" w:rsidRPr="00F462F3" w:rsidRDefault="00F462F3" w:rsidP="00F462F3">
      <w:pPr>
        <w:pStyle w:val="Default"/>
        <w:rPr>
          <w:rFonts w:asciiTheme="minorHAnsi" w:hAnsiTheme="minorHAnsi" w:cstheme="minorHAnsi"/>
        </w:rPr>
      </w:pPr>
    </w:p>
    <w:p w14:paraId="1D19EE21" w14:textId="2E53B1E9" w:rsidR="00F462F3" w:rsidRPr="00F462F3" w:rsidRDefault="00F462F3" w:rsidP="00F462F3">
      <w:pPr>
        <w:spacing w:after="0" w:line="240" w:lineRule="auto"/>
        <w:jc w:val="both"/>
        <w:rPr>
          <w:rFonts w:cstheme="minorHAnsi"/>
          <w:sz w:val="24"/>
          <w:szCs w:val="24"/>
        </w:rPr>
      </w:pPr>
      <w:r w:rsidRPr="00F462F3">
        <w:rPr>
          <w:rFonts w:cstheme="minorHAnsi"/>
          <w:sz w:val="24"/>
          <w:szCs w:val="24"/>
        </w:rPr>
        <w:t xml:space="preserve">In compliance with the Commission's January 25, 2022, Order in Docket No. 51966, </w:t>
      </w:r>
      <w:r w:rsidRPr="00F462F3">
        <w:rPr>
          <w:rFonts w:cstheme="minorHAnsi"/>
          <w:i/>
          <w:iCs/>
          <w:sz w:val="24"/>
          <w:szCs w:val="24"/>
        </w:rPr>
        <w:t>Agreed Notice of Violation and Settlement Agreement Relating to Entergy Texas, Inc.'s Violation of PURA § 38.005 and 16 TAC § 25.52, Concerning Reliability and Continuity of Service</w:t>
      </w:r>
      <w:r w:rsidR="000B1ECB">
        <w:rPr>
          <w:rFonts w:cstheme="minorHAnsi"/>
          <w:i/>
          <w:iCs/>
          <w:sz w:val="24"/>
          <w:szCs w:val="24"/>
        </w:rPr>
        <w:t>,</w:t>
      </w:r>
      <w:r w:rsidRPr="00F462F3">
        <w:rPr>
          <w:rFonts w:cstheme="minorHAnsi"/>
          <w:sz w:val="24"/>
          <w:szCs w:val="24"/>
        </w:rPr>
        <w:t xml:space="preserve"> Entergy Texas, Inc. (ETI) files the following addendum:</w:t>
      </w:r>
    </w:p>
    <w:p w14:paraId="5E68ACA5" w14:textId="70B42E80" w:rsidR="00F462F3" w:rsidRPr="00F462F3" w:rsidRDefault="00F462F3" w:rsidP="00F462F3">
      <w:pPr>
        <w:spacing w:after="0" w:line="240" w:lineRule="auto"/>
        <w:rPr>
          <w:rFonts w:cstheme="minorHAnsi"/>
          <w:sz w:val="24"/>
          <w:szCs w:val="24"/>
        </w:rPr>
      </w:pPr>
    </w:p>
    <w:p w14:paraId="6F41AF2E" w14:textId="77777777" w:rsidR="00F462F3" w:rsidRPr="00F462F3" w:rsidRDefault="00F462F3" w:rsidP="00F462F3">
      <w:pPr>
        <w:pStyle w:val="Default"/>
        <w:rPr>
          <w:rFonts w:asciiTheme="minorHAnsi" w:hAnsiTheme="minorHAnsi" w:cstheme="minorHAnsi"/>
        </w:rPr>
      </w:pPr>
    </w:p>
    <w:p w14:paraId="45EA5E4A" w14:textId="1564B57E" w:rsidR="00F462F3" w:rsidRPr="00F462F3" w:rsidRDefault="00F462F3" w:rsidP="00F462F3">
      <w:pPr>
        <w:pStyle w:val="Default"/>
        <w:numPr>
          <w:ilvl w:val="0"/>
          <w:numId w:val="1"/>
        </w:numPr>
        <w:ind w:left="360" w:hanging="270"/>
        <w:rPr>
          <w:rFonts w:asciiTheme="minorHAnsi" w:hAnsiTheme="minorHAnsi" w:cstheme="minorHAnsi"/>
          <w:b/>
          <w:bCs/>
          <w:color w:val="auto"/>
          <w:u w:val="single"/>
        </w:rPr>
      </w:pPr>
      <w:r w:rsidRPr="00F462F3">
        <w:rPr>
          <w:rFonts w:asciiTheme="minorHAnsi" w:hAnsiTheme="minorHAnsi" w:cstheme="minorHAnsi"/>
          <w:b/>
          <w:bCs/>
          <w:color w:val="auto"/>
          <w:u w:val="single"/>
        </w:rPr>
        <w:t xml:space="preserve">Actions to Bring Feeders in Violation of System-Wide Standards into Compliance </w:t>
      </w:r>
    </w:p>
    <w:p w14:paraId="09B9CAA6" w14:textId="77777777" w:rsidR="00F462F3" w:rsidRPr="00F462F3" w:rsidRDefault="00F462F3" w:rsidP="00F462F3">
      <w:pPr>
        <w:pStyle w:val="Default"/>
        <w:rPr>
          <w:rFonts w:asciiTheme="minorHAnsi" w:hAnsiTheme="minorHAnsi" w:cstheme="minorHAnsi"/>
          <w:color w:val="auto"/>
        </w:rPr>
      </w:pPr>
    </w:p>
    <w:p w14:paraId="26E13EA4" w14:textId="358FA39D" w:rsidR="00F462F3" w:rsidRDefault="00F462F3" w:rsidP="00F462F3">
      <w:pPr>
        <w:pStyle w:val="Default"/>
        <w:jc w:val="both"/>
        <w:rPr>
          <w:rFonts w:asciiTheme="minorHAnsi" w:hAnsiTheme="minorHAnsi" w:cstheme="minorHAnsi"/>
          <w:color w:val="auto"/>
          <w:u w:val="single"/>
        </w:rPr>
      </w:pPr>
      <w:r w:rsidRPr="000B1ECB">
        <w:rPr>
          <w:rFonts w:asciiTheme="minorHAnsi" w:hAnsiTheme="minorHAnsi" w:cstheme="minorHAnsi"/>
          <w:color w:val="auto"/>
          <w:u w:val="single"/>
        </w:rPr>
        <w:t xml:space="preserve">Docket No. 51966 Order at Ordering Paragraph 5 provides: </w:t>
      </w:r>
    </w:p>
    <w:p w14:paraId="29DEDE7B" w14:textId="77777777" w:rsidR="000B1ECB" w:rsidRPr="000B1ECB" w:rsidRDefault="000B1ECB" w:rsidP="00F462F3">
      <w:pPr>
        <w:pStyle w:val="Default"/>
        <w:jc w:val="both"/>
        <w:rPr>
          <w:rFonts w:asciiTheme="minorHAnsi" w:hAnsiTheme="minorHAnsi" w:cstheme="minorHAnsi"/>
          <w:color w:val="auto"/>
          <w:u w:val="single"/>
        </w:rPr>
      </w:pPr>
    </w:p>
    <w:p w14:paraId="4B3009FC" w14:textId="7EE80A54" w:rsidR="00F462F3" w:rsidRDefault="00F462F3" w:rsidP="00F462F3">
      <w:pPr>
        <w:pStyle w:val="Default"/>
        <w:jc w:val="both"/>
        <w:rPr>
          <w:rFonts w:asciiTheme="minorHAnsi" w:hAnsiTheme="minorHAnsi" w:cstheme="minorHAnsi"/>
          <w:i/>
          <w:iCs/>
          <w:color w:val="auto"/>
        </w:rPr>
      </w:pPr>
      <w:r w:rsidRPr="00F462F3">
        <w:rPr>
          <w:rFonts w:asciiTheme="minorHAnsi" w:hAnsiTheme="minorHAnsi" w:cstheme="minorHAnsi"/>
          <w:i/>
          <w:iCs/>
          <w:color w:val="auto"/>
        </w:rPr>
        <w:t xml:space="preserve">Entergy must file a report regarding actions to bring feeders that are found to be in violation of any of its system-wide service quality standards for two or more consecutive years into compliance with the Commission's service quality standards, and this report must be filed as an addendum to Entergy's required annual service quality reports, as prescribed by 16 TAC § 25.81. </w:t>
      </w:r>
    </w:p>
    <w:p w14:paraId="152D1E17" w14:textId="77777777" w:rsidR="00F462F3" w:rsidRPr="00F462F3" w:rsidRDefault="00F462F3" w:rsidP="00F462F3">
      <w:pPr>
        <w:pStyle w:val="Default"/>
        <w:jc w:val="both"/>
        <w:rPr>
          <w:rFonts w:asciiTheme="minorHAnsi" w:hAnsiTheme="minorHAnsi" w:cstheme="minorHAnsi"/>
          <w:color w:val="auto"/>
        </w:rPr>
      </w:pPr>
    </w:p>
    <w:p w14:paraId="7EEA79E1" w14:textId="77777777" w:rsidR="00F462F3" w:rsidRPr="00F462F3" w:rsidRDefault="00F462F3" w:rsidP="00F462F3">
      <w:pPr>
        <w:spacing w:after="0" w:line="240" w:lineRule="auto"/>
        <w:jc w:val="both"/>
        <w:rPr>
          <w:rFonts w:cstheme="minorHAnsi"/>
          <w:sz w:val="24"/>
          <w:szCs w:val="24"/>
          <w:u w:val="single"/>
        </w:rPr>
      </w:pPr>
      <w:r w:rsidRPr="00F462F3">
        <w:rPr>
          <w:rFonts w:cstheme="minorHAnsi"/>
          <w:sz w:val="24"/>
          <w:szCs w:val="24"/>
          <w:u w:val="single"/>
        </w:rPr>
        <w:t xml:space="preserve">ETI Response: </w:t>
      </w:r>
    </w:p>
    <w:p w14:paraId="73C6FF9A" w14:textId="77777777" w:rsidR="00F462F3" w:rsidRDefault="00F462F3" w:rsidP="00F462F3">
      <w:pPr>
        <w:spacing w:after="0" w:line="240" w:lineRule="auto"/>
        <w:jc w:val="both"/>
        <w:rPr>
          <w:rFonts w:cstheme="minorHAnsi"/>
          <w:sz w:val="24"/>
          <w:szCs w:val="24"/>
        </w:rPr>
      </w:pPr>
    </w:p>
    <w:p w14:paraId="62373AB0" w14:textId="76B1E257" w:rsidR="00F462F3" w:rsidRDefault="00F462F3" w:rsidP="00F462F3">
      <w:pPr>
        <w:spacing w:after="0" w:line="240" w:lineRule="auto"/>
        <w:jc w:val="both"/>
        <w:rPr>
          <w:rFonts w:cstheme="minorHAnsi"/>
          <w:sz w:val="24"/>
          <w:szCs w:val="24"/>
        </w:rPr>
      </w:pPr>
      <w:r w:rsidRPr="00F462F3">
        <w:rPr>
          <w:rFonts w:cstheme="minorHAnsi"/>
          <w:sz w:val="24"/>
          <w:szCs w:val="24"/>
        </w:rPr>
        <w:t>ET</w:t>
      </w:r>
      <w:r w:rsidR="000B1ECB">
        <w:rPr>
          <w:rFonts w:cstheme="minorHAnsi"/>
          <w:sz w:val="24"/>
          <w:szCs w:val="24"/>
        </w:rPr>
        <w:t>I</w:t>
      </w:r>
      <w:r w:rsidRPr="00F462F3">
        <w:rPr>
          <w:rFonts w:cstheme="minorHAnsi"/>
          <w:sz w:val="24"/>
          <w:szCs w:val="24"/>
        </w:rPr>
        <w:t xml:space="preserve"> did not have any feeders found to be in violation of the system-wide service quality standards for two or more consecutive years as determined for reporting year 2019. On January 23, 2023, ETI received a Finding of Violation for reporting years 2020 and 2021 from the Commission’s Division of Compliance and Enforcement (“DICE”) and is currently working with DICE to finalize a settlement agreement. ETI will supplement this addendum as necessary.</w:t>
      </w:r>
    </w:p>
    <w:p w14:paraId="77DD571F" w14:textId="77777777" w:rsidR="00F462F3" w:rsidRDefault="00F462F3" w:rsidP="00F462F3">
      <w:pPr>
        <w:spacing w:after="0" w:line="240" w:lineRule="auto"/>
        <w:jc w:val="both"/>
        <w:rPr>
          <w:rFonts w:cstheme="minorHAnsi"/>
          <w:sz w:val="24"/>
          <w:szCs w:val="24"/>
        </w:rPr>
      </w:pPr>
    </w:p>
    <w:p w14:paraId="4B68C84E" w14:textId="055A460D" w:rsidR="00F462F3" w:rsidRPr="00F462F3" w:rsidRDefault="00F462F3" w:rsidP="00F462F3">
      <w:pPr>
        <w:spacing w:after="0" w:line="240" w:lineRule="auto"/>
        <w:jc w:val="both"/>
        <w:rPr>
          <w:rFonts w:cstheme="minorHAnsi"/>
          <w:b/>
          <w:bCs/>
          <w:sz w:val="24"/>
          <w:szCs w:val="24"/>
          <w:u w:val="single"/>
        </w:rPr>
      </w:pPr>
    </w:p>
    <w:sectPr w:rsidR="00F462F3" w:rsidRPr="00F462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0B02D" w14:textId="77777777" w:rsidR="006D676F" w:rsidRDefault="006D676F" w:rsidP="000B1ECB">
      <w:pPr>
        <w:spacing w:after="0" w:line="240" w:lineRule="auto"/>
      </w:pPr>
      <w:r>
        <w:separator/>
      </w:r>
    </w:p>
  </w:endnote>
  <w:endnote w:type="continuationSeparator" w:id="0">
    <w:p w14:paraId="59506918" w14:textId="77777777" w:rsidR="006D676F" w:rsidRDefault="006D676F" w:rsidP="000B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1ED95" w14:textId="77777777" w:rsidR="006D676F" w:rsidRDefault="006D676F" w:rsidP="000B1ECB">
      <w:pPr>
        <w:spacing w:after="0" w:line="240" w:lineRule="auto"/>
      </w:pPr>
      <w:r>
        <w:separator/>
      </w:r>
    </w:p>
  </w:footnote>
  <w:footnote w:type="continuationSeparator" w:id="0">
    <w:p w14:paraId="6FBCB584" w14:textId="77777777" w:rsidR="006D676F" w:rsidRDefault="006D676F" w:rsidP="000B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F63C62"/>
    <w:multiLevelType w:val="hybridMultilevel"/>
    <w:tmpl w:val="6146314A"/>
    <w:lvl w:ilvl="0" w:tplc="F7BC68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B55A1A"/>
    <w:multiLevelType w:val="hybridMultilevel"/>
    <w:tmpl w:val="C5F0FC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5719194">
    <w:abstractNumId w:val="1"/>
  </w:num>
  <w:num w:numId="2" w16cid:durableId="1099251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2F3"/>
    <w:rsid w:val="000B1ECB"/>
    <w:rsid w:val="0028059E"/>
    <w:rsid w:val="005758E4"/>
    <w:rsid w:val="006948F3"/>
    <w:rsid w:val="006D676F"/>
    <w:rsid w:val="00B92F42"/>
    <w:rsid w:val="00F46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A8FFF"/>
  <w15:chartTrackingRefBased/>
  <w15:docId w15:val="{FC9B6499-7F36-41D4-BA57-67D924142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462F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Contreras, Mario</dc:creator>
  <cp:keywords/>
  <dc:description/>
  <cp:lastModifiedBy>Contreras, Mario</cp:lastModifiedBy>
  <cp:revision>3</cp:revision>
  <dcterms:created xsi:type="dcterms:W3CDTF">2023-02-14T16:49:00Z</dcterms:created>
  <dcterms:modified xsi:type="dcterms:W3CDTF">2023-02-14T18:34:00Z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91f082-e357-48ae-be1c-7e151bab59c6_Enabled">
    <vt:lpwstr>true</vt:lpwstr>
  </property>
  <property fmtid="{D5CDD505-2E9C-101B-9397-08002B2CF9AE}" pid="3" name="MSIP_Label_4391f082-e357-48ae-be1c-7e151bab59c6_SetDate">
    <vt:lpwstr>2023-02-14T16:49:02Z</vt:lpwstr>
  </property>
  <property fmtid="{D5CDD505-2E9C-101B-9397-08002B2CF9AE}" pid="4" name="MSIP_Label_4391f082-e357-48ae-be1c-7e151bab59c6_Method">
    <vt:lpwstr>Standard</vt:lpwstr>
  </property>
  <property fmtid="{D5CDD505-2E9C-101B-9397-08002B2CF9AE}" pid="5" name="MSIP_Label_4391f082-e357-48ae-be1c-7e151bab59c6_Name">
    <vt:lpwstr>4391f082-e357-48ae-be1c-7e151bab59c6</vt:lpwstr>
  </property>
  <property fmtid="{D5CDD505-2E9C-101B-9397-08002B2CF9AE}" pid="6" name="MSIP_Label_4391f082-e357-48ae-be1c-7e151bab59c6_SiteId">
    <vt:lpwstr>e0c13469-6a2d-4ac3-835b-8ec9ed03c9a7</vt:lpwstr>
  </property>
  <property fmtid="{D5CDD505-2E9C-101B-9397-08002B2CF9AE}" pid="7" name="MSIP_Label_4391f082-e357-48ae-be1c-7e151bab59c6_ActionId">
    <vt:lpwstr>4037f8e7-1273-4dd9-9d01-197e538d5fcc</vt:lpwstr>
  </property>
  <property fmtid="{D5CDD505-2E9C-101B-9397-08002B2CF9AE}" pid="8" name="MSIP_Label_4391f082-e357-48ae-be1c-7e151bab59c6_ContentBits">
    <vt:lpwstr>0</vt:lpwstr>
  </property>
</Properties>
</file>